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A41F01">
              <w:rPr>
                <w:rFonts w:ascii="Verdana" w:hAnsi="Verdana"/>
                <w:sz w:val="20"/>
                <w:szCs w:val="20"/>
                <w:lang w:val="sl-SI"/>
              </w:rPr>
              <w:t>JN 71/17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41F01">
              <w:rPr>
                <w:rFonts w:ascii="Verdana" w:hAnsi="Verdana"/>
                <w:b/>
                <w:sz w:val="20"/>
                <w:szCs w:val="20"/>
                <w:lang w:val="sl-SI"/>
              </w:rPr>
              <w:t>Obnova 1. nadstropja operativno vzdrževalnega objekta (OVO) na terminalu EET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bookmarkStart w:id="0" w:name="_GoBack"/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bookmarkEnd w:id="0"/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95" w:rsidRDefault="006F3595" w:rsidP="00CB4327">
      <w:pPr>
        <w:spacing w:after="0" w:line="240" w:lineRule="auto"/>
      </w:pPr>
      <w:r>
        <w:separator/>
      </w:r>
    </w:p>
  </w:endnote>
  <w:endnote w:type="continuationSeparator" w:id="0">
    <w:p w:rsidR="006F3595" w:rsidRDefault="006F359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E2" w:rsidRDefault="00C861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Footer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Foot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41F0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41F0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E2" w:rsidRDefault="00C861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95" w:rsidRDefault="006F3595" w:rsidP="00CB4327">
      <w:pPr>
        <w:spacing w:after="0" w:line="240" w:lineRule="auto"/>
      </w:pPr>
      <w:r>
        <w:separator/>
      </w:r>
    </w:p>
  </w:footnote>
  <w:footnote w:type="continuationSeparator" w:id="0">
    <w:p w:rsidR="006F3595" w:rsidRDefault="006F3595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E2" w:rsidRDefault="00C861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Header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Head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E2" w:rsidRDefault="00C861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C4AB2"/>
    <w:rsid w:val="000F32DA"/>
    <w:rsid w:val="00164912"/>
    <w:rsid w:val="00171455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53B1"/>
    <w:rsid w:val="0045450C"/>
    <w:rsid w:val="00470BC3"/>
    <w:rsid w:val="0048685A"/>
    <w:rsid w:val="0053310A"/>
    <w:rsid w:val="005C75D1"/>
    <w:rsid w:val="00637887"/>
    <w:rsid w:val="00653AE5"/>
    <w:rsid w:val="0067206E"/>
    <w:rsid w:val="006725FB"/>
    <w:rsid w:val="006E1225"/>
    <w:rsid w:val="006F3595"/>
    <w:rsid w:val="007225BA"/>
    <w:rsid w:val="00736A02"/>
    <w:rsid w:val="007677DE"/>
    <w:rsid w:val="007A4E40"/>
    <w:rsid w:val="007F3A57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56A6"/>
    <w:rsid w:val="00A41F01"/>
    <w:rsid w:val="00AB7A8D"/>
    <w:rsid w:val="00AC31FB"/>
    <w:rsid w:val="00B73218"/>
    <w:rsid w:val="00B82A02"/>
    <w:rsid w:val="00B934CC"/>
    <w:rsid w:val="00BE1ABA"/>
    <w:rsid w:val="00C02FA5"/>
    <w:rsid w:val="00C861E2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432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4327"/>
    <w:rPr>
      <w:sz w:val="22"/>
      <w:szCs w:val="22"/>
    </w:rPr>
  </w:style>
  <w:style w:type="table" w:styleId="TableGrid">
    <w:name w:val="Table Grid"/>
    <w:basedOn w:val="TableNormal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Špela Brezavšček</cp:lastModifiedBy>
  <cp:revision>8</cp:revision>
  <dcterms:created xsi:type="dcterms:W3CDTF">2016-04-12T08:55:00Z</dcterms:created>
  <dcterms:modified xsi:type="dcterms:W3CDTF">2017-07-06T11:32:00Z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71/17</vt:lpwstr>
  </property>
  <property fmtid="{D5CDD505-2E9C-101B-9397-08002B2CF9AE}" pid="5" name="MFiles_P1046">
    <vt:lpwstr>Obnova 1. nadstropja operativno vzdrževalnega objekta (OVO) na terminalu EET</vt:lpwstr>
  </property>
  <property fmtid="{D5CDD505-2E9C-101B-9397-08002B2CF9AE}" pid="6" name="MFiles_PG5BC2FC14A405421BA79F5FEC63BD00E3n1_PGB3D8D77D2D654902AEB821305A1A12BC">
    <vt:lpwstr>6501 Koper</vt:lpwstr>
  </property>
</Properties>
</file>